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629"/>
        <w:pBdr/>
        <w:spacing w:after="0" w:before="0" w:line="240" w:lineRule="auto"/>
        <w:ind w:right="140" w:firstLine="360"/>
        <w:contextualSpacing w:val="true"/>
        <w:jc w:val="right"/>
        <w:rPr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Приложение №5</w:t>
      </w:r>
      <w:r>
        <w:rPr>
          <w:sz w:val="20"/>
          <w:szCs w:val="20"/>
        </w:rPr>
      </w:r>
    </w:p>
    <w:p>
      <w:pPr>
        <w:pStyle w:val="629"/>
        <w:pBdr/>
        <w:spacing w:after="0" w:before="0" w:line="240" w:lineRule="auto"/>
        <w:ind w:right="140" w:firstLine="360"/>
        <w:contextualSpacing w:val="true"/>
        <w:jc w:val="right"/>
        <w:rPr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к документации об аукционе</w:t>
      </w:r>
      <w:r>
        <w:rPr>
          <w:sz w:val="20"/>
          <w:szCs w:val="20"/>
        </w:rPr>
      </w:r>
    </w:p>
    <w:p>
      <w:pPr>
        <w:pStyle w:val="629"/>
        <w:pBdr/>
        <w:spacing w:after="0" w:before="0" w:line="240" w:lineRule="auto"/>
        <w:ind w:right="140" w:firstLine="360"/>
        <w:contextualSpacing w:val="true"/>
        <w:jc w:val="right"/>
        <w:rPr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в электронной форме</w:t>
      </w:r>
      <w:r>
        <w:rPr>
          <w:sz w:val="20"/>
          <w:szCs w:val="20"/>
        </w:rPr>
      </w:r>
    </w:p>
    <w:p>
      <w:pPr>
        <w:pStyle w:val="629"/>
        <w:pBdr/>
        <w:spacing w:after="0" w:before="0" w:line="240" w:lineRule="auto"/>
        <w:ind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</w:r>
      <w:r>
        <w:rPr>
          <w:rFonts w:ascii="Times New Roman" w:hAnsi="Times New Roman" w:cs="Times New Roman"/>
          <w:b/>
          <w:sz w:val="20"/>
          <w:szCs w:val="20"/>
        </w:rPr>
      </w:r>
    </w:p>
    <w:p>
      <w:pPr>
        <w:pStyle w:val="629"/>
        <w:pBdr/>
        <w:spacing w:after="0" w:before="0" w:line="240" w:lineRule="auto"/>
        <w:ind/>
        <w:jc w:val="center"/>
        <w:rPr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Условия независимой гарантии</w:t>
      </w:r>
      <w:r>
        <w:rPr>
          <w:sz w:val="20"/>
          <w:szCs w:val="20"/>
        </w:rPr>
      </w:r>
    </w:p>
    <w:p>
      <w:pPr>
        <w:pStyle w:val="629"/>
        <w:pBdr/>
        <w:spacing w:after="0" w:before="0" w:line="240" w:lineRule="auto"/>
        <w:ind w:firstLine="709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1. Заказчиком в качестве обеспечения заявки или исполнения договора принимается  независимая гарантия, оформленная  согласно положениям  статей 368-379 ГК РФ  (далее по тексту – Гарантия) и </w:t>
      </w:r>
      <w:r>
        <w:rPr>
          <w:rFonts w:ascii="Times New Roman" w:hAnsi="Times New Roman" w:cs="Times New Roman"/>
          <w:sz w:val="20"/>
          <w:szCs w:val="20"/>
        </w:rPr>
        <w:t xml:space="preserve">выданная банком, соответствующим требованиям, установленным Постановлением Правительством Российской Федерации от 12 апреля 2018 г. № 440"О требованиях к банкам, которые вправе выдавать независимые гарантии для обеспечения заявок и исполнения контрактов": </w:t>
      </w:r>
      <w:r>
        <w:rPr>
          <w:sz w:val="20"/>
          <w:szCs w:val="20"/>
        </w:rPr>
      </w:r>
    </w:p>
    <w:p>
      <w:pPr>
        <w:pStyle w:val="629"/>
        <w:pBdr/>
        <w:spacing w:after="0" w:before="0" w:line="240" w:lineRule="auto"/>
        <w:ind w:firstLine="709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1.1.Наличие у банка собственных средств (капитала) в размере не менее 300 млн. рублей, рассчитываемых по методике Центрального банка Российской Федерации, по состоянию на последнюю отчетную дату;</w:t>
      </w:r>
      <w:r>
        <w:rPr>
          <w:sz w:val="20"/>
          <w:szCs w:val="20"/>
        </w:rPr>
      </w:r>
    </w:p>
    <w:p>
      <w:pPr>
        <w:pStyle w:val="629"/>
        <w:pBdr/>
        <w:spacing w:after="0" w:before="0" w:line="240" w:lineRule="auto"/>
        <w:ind w:firstLine="709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1.2.Наличие у банка кредитного рейтинга не ниже уровня "BB-(RU</w:t>
      </w:r>
      <w:r>
        <w:rPr>
          <w:rFonts w:ascii="Times New Roman" w:hAnsi="Times New Roman" w:cs="Times New Roman"/>
          <w:sz w:val="20"/>
          <w:szCs w:val="20"/>
        </w:rPr>
        <w:t xml:space="preserve">)" по национальной рейтинговой шкале для Российской Федерации кредитного рейтингового агентства Аналитическое Кредитное Рейтинговое Агентство (Акционерное общество) и (или) кредитного рейтинга не ниже уровня "ruВВ-" по национальной рейтинговой шкале для Ро</w:t>
      </w:r>
      <w:bookmarkStart w:id="0" w:name="_GoBack"/>
      <w:r/>
      <w:bookmarkEnd w:id="0"/>
      <w:r>
        <w:rPr>
          <w:rFonts w:ascii="Times New Roman" w:hAnsi="Times New Roman" w:cs="Times New Roman"/>
          <w:sz w:val="20"/>
          <w:szCs w:val="20"/>
        </w:rPr>
        <w:t xml:space="preserve">ссийской Федерации кредитного рейтингового агентства Акционерное общество "Рейтинговое агентство "Эксперт РА".</w:t>
      </w:r>
      <w:r>
        <w:rPr>
          <w:sz w:val="20"/>
          <w:szCs w:val="20"/>
        </w:rPr>
      </w:r>
    </w:p>
    <w:p>
      <w:pPr>
        <w:pStyle w:val="629"/>
        <w:pBdr/>
        <w:spacing w:after="0" w:before="0" w:line="240" w:lineRule="auto"/>
        <w:ind w:firstLine="709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2. Гарантия должна быть безотзывной и содержать следующие сведения:</w:t>
      </w:r>
      <w:r>
        <w:rPr>
          <w:sz w:val="20"/>
          <w:szCs w:val="20"/>
        </w:rPr>
      </w:r>
    </w:p>
    <w:p>
      <w:pPr>
        <w:pStyle w:val="629"/>
        <w:pBdr/>
        <w:spacing w:after="0" w:before="0" w:line="240" w:lineRule="auto"/>
        <w:ind w:firstLine="709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2.1. Дату выдачи;</w:t>
      </w:r>
      <w:r>
        <w:rPr>
          <w:sz w:val="20"/>
          <w:szCs w:val="20"/>
        </w:rPr>
      </w:r>
    </w:p>
    <w:p>
      <w:pPr>
        <w:pStyle w:val="629"/>
        <w:pBdr/>
        <w:spacing w:after="0" w:before="0" w:line="240" w:lineRule="auto"/>
        <w:ind w:firstLine="709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2.2. Полное, сокращенное наименование принципала;</w:t>
      </w:r>
      <w:r>
        <w:rPr>
          <w:sz w:val="20"/>
          <w:szCs w:val="20"/>
        </w:rPr>
      </w:r>
    </w:p>
    <w:p>
      <w:pPr>
        <w:pStyle w:val="629"/>
        <w:pBdr/>
        <w:spacing w:after="0" w:before="0" w:line="240" w:lineRule="auto"/>
        <w:ind w:firstLine="709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2.3. Полное, сокращенное наименование заказчика (бенефициара);</w:t>
      </w:r>
      <w:r>
        <w:rPr>
          <w:sz w:val="20"/>
          <w:szCs w:val="20"/>
        </w:rPr>
      </w:r>
    </w:p>
    <w:p>
      <w:pPr>
        <w:pStyle w:val="629"/>
        <w:pBdr/>
        <w:spacing w:after="0" w:before="0" w:line="240" w:lineRule="auto"/>
        <w:ind w:firstLine="709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2.4. Полное, сокращенное наименование гаранта (банка);</w:t>
      </w:r>
      <w:r>
        <w:rPr>
          <w:sz w:val="20"/>
          <w:szCs w:val="20"/>
        </w:rPr>
      </w:r>
    </w:p>
    <w:p>
      <w:pPr>
        <w:pStyle w:val="629"/>
        <w:pBdr/>
        <w:spacing w:after="0" w:before="0" w:line="240" w:lineRule="auto"/>
        <w:ind w:firstLine="709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2.5. Обстоятельства, при наступлении которых должна быть выплачена сумма гарантии; </w:t>
      </w:r>
      <w:r>
        <w:rPr>
          <w:sz w:val="20"/>
          <w:szCs w:val="20"/>
        </w:rPr>
      </w:r>
    </w:p>
    <w:p>
      <w:pPr>
        <w:pStyle w:val="629"/>
        <w:pBdr/>
        <w:spacing w:after="0" w:before="0" w:line="240" w:lineRule="auto"/>
        <w:ind w:firstLine="709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2.6. Сумму Гарантии, подлежащую уплате</w:t>
      </w:r>
      <w:r>
        <w:rPr>
          <w:rFonts w:ascii="Times New Roman" w:hAnsi="Times New Roman" w:cs="Times New Roman"/>
          <w:sz w:val="20"/>
          <w:szCs w:val="20"/>
        </w:rPr>
        <w:t xml:space="preserve"> гарантом (банком) заказчику в случае ненадлежащего исполнения обязательств принципалом (поставщиком, подрядчиком, исполнителем) или подлежащую уплате гарантом (банком) заказчику в течение одного рабочего дня со дня включения информации о принципале в РНП;</w:t>
      </w:r>
      <w:r>
        <w:rPr>
          <w:sz w:val="20"/>
          <w:szCs w:val="20"/>
        </w:rPr>
      </w:r>
    </w:p>
    <w:p>
      <w:pPr>
        <w:pStyle w:val="629"/>
        <w:pBdr/>
        <w:spacing w:after="0" w:before="0" w:line="240" w:lineRule="auto"/>
        <w:ind w:firstLine="709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2.7. Обязательства принципала, надлежащее исполнение которых обеспечивается Гарантией;</w:t>
      </w:r>
      <w:r>
        <w:rPr>
          <w:sz w:val="20"/>
          <w:szCs w:val="20"/>
        </w:rPr>
      </w:r>
    </w:p>
    <w:p>
      <w:pPr>
        <w:pStyle w:val="629"/>
        <w:pBdr/>
        <w:spacing w:after="0" w:before="0" w:line="240" w:lineRule="auto"/>
        <w:ind w:firstLine="709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2.8. Обязанность гаранта (банка) уплатить заказчику неустойку в размере 0,1 процента денежной суммы, подлежащей уплате, за каждый день просрочки;</w:t>
      </w:r>
      <w:r>
        <w:rPr>
          <w:sz w:val="20"/>
          <w:szCs w:val="20"/>
        </w:rPr>
      </w:r>
    </w:p>
    <w:p>
      <w:pPr>
        <w:pStyle w:val="629"/>
        <w:pBdr/>
        <w:spacing w:after="0" w:before="0" w:line="240" w:lineRule="auto"/>
        <w:ind w:firstLine="709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2.9. Услови</w:t>
      </w:r>
      <w:r>
        <w:rPr>
          <w:rFonts w:ascii="Times New Roman" w:hAnsi="Times New Roman" w:cs="Times New Roman"/>
          <w:sz w:val="20"/>
          <w:szCs w:val="20"/>
        </w:rPr>
        <w:t xml:space="preserve">е, согласно которому исполнением обязательств гаранта (банка) по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заказчику;</w:t>
      </w:r>
      <w:r>
        <w:rPr>
          <w:sz w:val="20"/>
          <w:szCs w:val="20"/>
        </w:rPr>
      </w:r>
    </w:p>
    <w:p>
      <w:pPr>
        <w:pStyle w:val="629"/>
        <w:pBdr/>
        <w:spacing w:after="0" w:before="0" w:line="240" w:lineRule="auto"/>
        <w:ind w:firstLine="709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2.10. Срок действия Гарантии: </w:t>
      </w:r>
      <w:r>
        <w:rPr>
          <w:sz w:val="20"/>
          <w:szCs w:val="20"/>
        </w:rPr>
      </w:r>
    </w:p>
    <w:p>
      <w:pPr>
        <w:pStyle w:val="629"/>
        <w:pBdr/>
        <w:spacing w:after="0" w:before="0" w:line="240" w:lineRule="auto"/>
        <w:ind w:firstLine="709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2.10.1. Гарантия должна содержать сведения, позволяющие однозначно определить момент ее вступления в силу;</w:t>
      </w:r>
      <w:r>
        <w:rPr>
          <w:sz w:val="20"/>
          <w:szCs w:val="20"/>
        </w:rPr>
      </w:r>
    </w:p>
    <w:p>
      <w:pPr>
        <w:pStyle w:val="629"/>
        <w:pBdr/>
        <w:spacing w:after="0" w:before="0" w:line="240" w:lineRule="auto"/>
        <w:ind w:firstLine="709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2.10.2. Срок действия Гарантии, предоставленной в качестве обеспечения заявки, должен быть не менее двух месяцев с даты окончания срока подачи заявок;</w:t>
      </w:r>
      <w:r>
        <w:rPr>
          <w:sz w:val="20"/>
          <w:szCs w:val="20"/>
        </w:rPr>
      </w:r>
    </w:p>
    <w:p>
      <w:pPr>
        <w:pStyle w:val="629"/>
        <w:pBdr/>
        <w:spacing w:after="0" w:before="0" w:line="240" w:lineRule="auto"/>
        <w:ind w:firstLine="709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2.10.3. Срок действия Гарантии, предоставленной в качестве обеспечения исполнения договора, должен превышать срок исполнения основного обязательства по договору поставщиком (подрядчиком, исполнителем) не менее чем на 90 (девяносто) дней;</w:t>
      </w:r>
      <w:r>
        <w:rPr>
          <w:sz w:val="20"/>
          <w:szCs w:val="20"/>
        </w:rPr>
      </w:r>
    </w:p>
    <w:p>
      <w:pPr>
        <w:pStyle w:val="629"/>
        <w:pBdr/>
        <w:spacing w:after="0" w:before="0" w:line="240" w:lineRule="auto"/>
        <w:ind w:firstLine="709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2.10.4. Срок действия Гарантии, предоставленной в качестве обеспечения исполнения гарантийных обязательств, должен превышать срок гарантийных обязательств, предусмотренных договором не менее чем на 30 (тридцать) календарных дней.</w:t>
      </w:r>
      <w:r>
        <w:rPr>
          <w:sz w:val="20"/>
          <w:szCs w:val="20"/>
        </w:rPr>
      </w:r>
    </w:p>
    <w:p>
      <w:pPr>
        <w:pStyle w:val="629"/>
        <w:pBdr/>
        <w:spacing w:after="0" w:before="0" w:line="240" w:lineRule="auto"/>
        <w:ind w:firstLine="709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2.11. Отлагательное условие, предусматривающее заключение договора предоставления Гарантии по обязательствам принципала, возникшим из договора при его заключении, в случае предоставления Гарантии в качестве обеспечения исполнения договора;</w:t>
      </w:r>
      <w:r>
        <w:rPr>
          <w:sz w:val="20"/>
          <w:szCs w:val="20"/>
        </w:rPr>
      </w:r>
    </w:p>
    <w:p>
      <w:pPr>
        <w:pStyle w:val="629"/>
        <w:pBdr/>
        <w:spacing w:after="0" w:before="0" w:line="240" w:lineRule="auto"/>
        <w:ind w:firstLine="709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2.12.Условие, согласно к</w:t>
      </w:r>
      <w:r>
        <w:rPr>
          <w:rFonts w:ascii="Times New Roman" w:hAnsi="Times New Roman" w:cs="Times New Roman"/>
          <w:sz w:val="20"/>
          <w:szCs w:val="20"/>
        </w:rPr>
        <w:t xml:space="preserve">оторому, предусмотренное Гарантией обязательство гаранта (банка) перед бенефициаром (заказчиком) ограничивается суммой, указанной в Гарантии, и уменьшается по мере выполнения гарантом (банком) своих обязательств перед бенефициаром (заказчиком) по Гарантии.</w:t>
      </w:r>
      <w:r>
        <w:rPr>
          <w:sz w:val="20"/>
          <w:szCs w:val="20"/>
        </w:rPr>
      </w:r>
    </w:p>
    <w:p>
      <w:pPr>
        <w:pStyle w:val="629"/>
        <w:pBdr/>
        <w:spacing w:after="0" w:before="0" w:line="240" w:lineRule="auto"/>
        <w:ind w:firstLine="709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2.13.Перечень документов, направляемых бенефициаром (заказчиком) гаранту (банку) одновременно с требованием об осуществлении уплаты денежной суммы по Гарантии.</w:t>
      </w:r>
      <w:r>
        <w:rPr>
          <w:sz w:val="20"/>
          <w:szCs w:val="20"/>
        </w:rPr>
      </w:r>
    </w:p>
    <w:p>
      <w:pPr>
        <w:pStyle w:val="629"/>
        <w:pBdr/>
        <w:spacing w:after="0" w:before="0" w:line="240" w:lineRule="auto"/>
        <w:ind w:firstLine="709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3. В случае,</w:t>
      </w:r>
      <w:r>
        <w:rPr>
          <w:rFonts w:ascii="Times New Roman" w:hAnsi="Times New Roman" w:cs="Times New Roman"/>
          <w:sz w:val="20"/>
          <w:szCs w:val="20"/>
        </w:rPr>
        <w:t xml:space="preserve"> предусмотренном извещением об осуществлении закупки, документацией о закупке, проектом договора, заключаемого с единственным поставщиком (подрядчиком, исполнителем) или иным участником неконкурентной закупки, в Гарантию включается условие о праве заказчик</w:t>
      </w:r>
      <w:r>
        <w:rPr>
          <w:rFonts w:ascii="Times New Roman" w:hAnsi="Times New Roman" w:cs="Times New Roman"/>
          <w:sz w:val="20"/>
          <w:szCs w:val="20"/>
        </w:rPr>
        <w:t xml:space="preserve">а на бесспорное списание денежных средств со счета гаранта (банка), если гарантом в срок не более чем пять рабочих дней не исполнено требование бенефициара (заказчика) об уплате денежной суммы по Гарантии, направленное до окончания срока действия Гарантии.</w:t>
      </w:r>
      <w:r>
        <w:rPr>
          <w:sz w:val="20"/>
          <w:szCs w:val="20"/>
        </w:rPr>
      </w:r>
    </w:p>
    <w:p>
      <w:pPr>
        <w:pStyle w:val="629"/>
        <w:pBdr/>
        <w:spacing w:after="0" w:before="0" w:line="240" w:lineRule="auto"/>
        <w:ind w:firstLine="709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4.Требование бенефициара об уплате денежной суммы </w:t>
      </w:r>
      <w:r>
        <w:rPr>
          <w:rFonts w:ascii="Times New Roman" w:hAnsi="Times New Roman" w:cs="Times New Roman"/>
          <w:sz w:val="20"/>
          <w:szCs w:val="20"/>
        </w:rPr>
        <w:t xml:space="preserve">по Гарантии должно быть представлено гаранту (банку) в письменной форме с приложением указанных в Гарантии документов. В требовании или в приложении к нему бенефициар (заказчик) должен указать обстоятельства, наступление которых влечет выплату по Гарантии.</w:t>
      </w:r>
      <w:r>
        <w:rPr>
          <w:sz w:val="20"/>
          <w:szCs w:val="20"/>
        </w:rPr>
      </w:r>
    </w:p>
    <w:p>
      <w:pPr>
        <w:pStyle w:val="629"/>
        <w:pBdr/>
        <w:spacing w:after="0" w:before="0" w:line="240" w:lineRule="auto"/>
        <w:ind w:firstLine="709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Указанное требование может быть составлено по форме, утвержденной Постановлением Правительства РФ от 08.11.2013 №1005 (ред. от 30.06.2018) "О банков</w:t>
      </w:r>
      <w:r>
        <w:rPr>
          <w:rFonts w:ascii="Times New Roman" w:hAnsi="Times New Roman" w:cs="Times New Roman"/>
          <w:sz w:val="20"/>
          <w:szCs w:val="20"/>
        </w:rPr>
        <w:t xml:space="preserve">ских гарантиях, используемых для целей Федерального закона "О контрактной системе в сфере закупок товаров, работ, услуг для обеспечения государственных и муниципальных нужд" и предоставлено заказчиком банку одновременно документами, указанными в Гарантии. </w:t>
      </w:r>
      <w:r>
        <w:rPr>
          <w:sz w:val="20"/>
          <w:szCs w:val="20"/>
        </w:rPr>
      </w:r>
    </w:p>
    <w:p>
      <w:pPr>
        <w:pStyle w:val="629"/>
        <w:pBdr/>
        <w:spacing w:after="0" w:before="0" w:line="240" w:lineRule="auto"/>
        <w:ind w:firstLine="709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5. В документации о закупке, проекте договора должно содержаться условие о запрещении включать в Гарантию:</w:t>
      </w:r>
      <w:r>
        <w:rPr>
          <w:sz w:val="20"/>
          <w:szCs w:val="20"/>
        </w:rPr>
      </w:r>
    </w:p>
    <w:p>
      <w:pPr>
        <w:pStyle w:val="629"/>
        <w:pBdr/>
        <w:spacing w:after="0" w:before="0" w:line="240" w:lineRule="auto"/>
        <w:ind w:firstLine="709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5.1. Требование о представлении бенефициаром (заказчиком) гаранту (банку) судебных актов, подтверждающих неисполнение принципалом обязательств, обеспечиваемых банковской гарантией; </w:t>
      </w:r>
      <w:r>
        <w:rPr>
          <w:sz w:val="20"/>
          <w:szCs w:val="20"/>
        </w:rPr>
      </w:r>
    </w:p>
    <w:p>
      <w:pPr>
        <w:pStyle w:val="629"/>
        <w:pBdr/>
        <w:spacing w:after="0" w:before="0" w:line="240" w:lineRule="auto"/>
        <w:ind w:firstLine="709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5.2. Требование о предоставлении бенефициаром (заказчиком) гаранту (банку) отчета об исполнении договора; </w:t>
      </w:r>
      <w:r>
        <w:rPr>
          <w:sz w:val="20"/>
          <w:szCs w:val="20"/>
        </w:rPr>
      </w:r>
    </w:p>
    <w:p>
      <w:pPr>
        <w:pStyle w:val="629"/>
        <w:pBdr/>
        <w:spacing w:after="0" w:before="0" w:line="240" w:lineRule="auto"/>
        <w:ind w:firstLine="709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5.3. Условие о праве на односторонний отказ гаранта (банка) от исполнения обязательств по выданной гарантии.</w:t>
      </w:r>
      <w:r>
        <w:rPr>
          <w:sz w:val="20"/>
          <w:szCs w:val="20"/>
        </w:rPr>
      </w:r>
    </w:p>
    <w:p>
      <w:pPr>
        <w:pStyle w:val="629"/>
        <w:pBdr/>
        <w:spacing w:after="0" w:before="0" w:line="240" w:lineRule="auto"/>
        <w:ind w:firstLine="709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6. Бенефициар (заказчик) рассматривает поступившую в качестве обеспечения исполнения договора Гарантию в срок, не превышающий 5 </w:t>
      </w:r>
      <w:r>
        <w:rPr>
          <w:rFonts w:ascii="Times New Roman" w:hAnsi="Times New Roman" w:cs="Times New Roman"/>
          <w:sz w:val="20"/>
          <w:szCs w:val="20"/>
        </w:rPr>
        <w:t xml:space="preserve">(пяти) рабочих дней со дня ее поступления и, в случае отказа в принятии Гарантии, информирует в письменной форме или в форме электронного документа об этом принципала и/или гаранта (банк) с  обязательным указанием причин, послуживших основанием для отказа.</w:t>
      </w:r>
      <w:r>
        <w:rPr>
          <w:sz w:val="20"/>
          <w:szCs w:val="20"/>
        </w:rPr>
      </w:r>
    </w:p>
    <w:p>
      <w:pPr>
        <w:pStyle w:val="629"/>
        <w:pBdr/>
        <w:spacing w:after="0" w:before="0" w:line="240" w:lineRule="auto"/>
        <w:ind w:firstLine="709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7. Основанием для отказа в принятии Гарантии бенефициаром (заказчиком) является:</w:t>
      </w:r>
      <w:r>
        <w:rPr>
          <w:sz w:val="20"/>
          <w:szCs w:val="20"/>
        </w:rPr>
      </w:r>
    </w:p>
    <w:p>
      <w:pPr>
        <w:pStyle w:val="629"/>
        <w:pBdr/>
        <w:spacing w:after="0" w:before="0" w:line="240" w:lineRule="auto"/>
        <w:ind w:firstLine="709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7.1. Отсутствие информации о Гарантии в реестрах банковских гарантий;</w:t>
      </w:r>
      <w:r>
        <w:rPr>
          <w:sz w:val="20"/>
          <w:szCs w:val="20"/>
        </w:rPr>
      </w:r>
    </w:p>
    <w:p>
      <w:pPr>
        <w:pStyle w:val="629"/>
        <w:pBdr/>
        <w:spacing w:after="0" w:before="0" w:line="240" w:lineRule="auto"/>
        <w:ind w:firstLine="709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7.2. Несоответствие Гарантии положениям, указанным в пунктах 2 и 3;</w:t>
      </w:r>
      <w:r>
        <w:rPr>
          <w:sz w:val="20"/>
          <w:szCs w:val="20"/>
        </w:rPr>
      </w:r>
    </w:p>
    <w:p>
      <w:pPr>
        <w:pStyle w:val="629"/>
        <w:pBdr/>
        <w:spacing w:after="0" w:before="0" w:line="240" w:lineRule="auto"/>
        <w:ind w:firstLine="709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7.3. Несоответствие Гарантии требованиям, содержащимся в извещении об осущест</w:t>
      </w:r>
      <w:r>
        <w:rPr>
          <w:rFonts w:ascii="Times New Roman" w:hAnsi="Times New Roman" w:cs="Times New Roman"/>
          <w:sz w:val="20"/>
          <w:szCs w:val="20"/>
        </w:rPr>
        <w:t xml:space="preserve">влении закупки, приглашении принять участие в определении поставщика (подрядчика, исполнителя), документации о закупке, проекте договора, который заключается с единственным поставщиком (подрядчиком, исполнителем) или иным участником неконкурентной закупки.</w:t>
      </w:r>
      <w:r>
        <w:rPr>
          <w:sz w:val="20"/>
          <w:szCs w:val="20"/>
        </w:rPr>
      </w:r>
    </w:p>
    <w:p>
      <w:pPr>
        <w:pStyle w:val="629"/>
        <w:pBdr/>
        <w:spacing w:after="0" w:before="0" w:line="240" w:lineRule="auto"/>
        <w:ind w:firstLine="709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8. В случае отзыва лицензии у банка, выдавшего Гарантию, принципал обязан в срок, не превышающий 14 (четырнадцати) дней, с даты отзыва лицен</w:t>
      </w:r>
      <w:r>
        <w:rPr>
          <w:rFonts w:ascii="Times New Roman" w:hAnsi="Times New Roman" w:cs="Times New Roman"/>
          <w:sz w:val="20"/>
          <w:szCs w:val="20"/>
        </w:rPr>
        <w:t xml:space="preserve">зии у банка, предоставить заказчику новое, аналогичное предоставленному ранее, обеспечение соответствующего обязательства, неисполнение данного условия контрагентом (поставщиком, подрядчиком, исполнителем) является существенным нарушением условий договора.</w:t>
      </w:r>
      <w:r>
        <w:rPr>
          <w:sz w:val="20"/>
          <w:szCs w:val="20"/>
        </w:rPr>
      </w:r>
    </w:p>
    <w:sectPr>
      <w:footnotePr/>
      <w:endnotePr/>
      <w:type w:val="nextPage"/>
      <w:pgSz w:h="16838" w:orient="portrait" w:w="11906"/>
      <w:pgMar w:top="1134" w:right="567" w:bottom="1134" w:left="1134" w:header="0" w:footer="0" w:gutter="0"/>
      <w:cols w:num="1" w:sep="0" w:space="1701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Microsoft YaHei">
    <w:panose1 w:val="020B0503020204020204"/>
  </w:font>
  <w:font w:name="Lucida Sans">
    <w:panose1 w:val="020B0602030504020204"/>
  </w:font>
  <w:font w:name="Liberation Sans">
    <w:panose1 w:val="020B060402020202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1">
    <w:name w:val="Table Grid"/>
    <w:basedOn w:val="637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">
    <w:name w:val="Table Grid Light"/>
    <w:basedOn w:val="63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Plain Table 1"/>
    <w:basedOn w:val="63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2"/>
    <w:basedOn w:val="63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3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4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5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Grid Table 1 Light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 - Accent 1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2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3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4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5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6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2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 - Accent 1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2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3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4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5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6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3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 - Accent 1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2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3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4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5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6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4"/>
    <w:basedOn w:val="63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 - Accent 1"/>
    <w:basedOn w:val="63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2"/>
    <w:basedOn w:val="63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3"/>
    <w:basedOn w:val="63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4"/>
    <w:basedOn w:val="63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5"/>
    <w:basedOn w:val="63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6"/>
    <w:basedOn w:val="63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5 Dark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- Accent 1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 - Accent 2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3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- Accent 4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 - Accent 5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6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6 Colorful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 - Accent 1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2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3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4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5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6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7 Colorful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 - Accent 1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2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3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4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5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6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List Table 1 Light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 - Accent 1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2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3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4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5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6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2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 - Accent 1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2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3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4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5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6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3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 - Accent 1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2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3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4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5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6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4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 - Accent 1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2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3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4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5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6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5 Dark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 - Accent 1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2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3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4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5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6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6 Colorful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 - Accent 1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2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3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4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5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6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7 Colorful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 - Accent 1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2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3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4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5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6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ned - Accent"/>
    <w:basedOn w:val="63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 1"/>
    <w:basedOn w:val="63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2"/>
    <w:basedOn w:val="63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3"/>
    <w:basedOn w:val="63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4"/>
    <w:basedOn w:val="63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5"/>
    <w:basedOn w:val="63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6"/>
    <w:basedOn w:val="63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Bordered &amp; Lined - Accent"/>
    <w:basedOn w:val="63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 1"/>
    <w:basedOn w:val="63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2"/>
    <w:basedOn w:val="63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3"/>
    <w:basedOn w:val="63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4"/>
    <w:basedOn w:val="63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5"/>
    <w:basedOn w:val="63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6"/>
    <w:basedOn w:val="63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 - Accent 1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2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3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4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5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6"/>
    <w:basedOn w:val="63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38">
    <w:name w:val="Heading 1"/>
    <w:basedOn w:val="629"/>
    <w:next w:val="629"/>
    <w:link w:val="14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139">
    <w:name w:val="Heading 2"/>
    <w:basedOn w:val="629"/>
    <w:next w:val="629"/>
    <w:link w:val="15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140">
    <w:name w:val="Heading 3"/>
    <w:basedOn w:val="629"/>
    <w:next w:val="629"/>
    <w:link w:val="15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141">
    <w:name w:val="Heading 4"/>
    <w:basedOn w:val="629"/>
    <w:next w:val="629"/>
    <w:link w:val="15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142">
    <w:name w:val="Heading 5"/>
    <w:basedOn w:val="629"/>
    <w:next w:val="629"/>
    <w:link w:val="15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143">
    <w:name w:val="Heading 6"/>
    <w:basedOn w:val="629"/>
    <w:next w:val="629"/>
    <w:link w:val="15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144">
    <w:name w:val="Heading 7"/>
    <w:basedOn w:val="629"/>
    <w:next w:val="629"/>
    <w:link w:val="15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145">
    <w:name w:val="Heading 8"/>
    <w:basedOn w:val="629"/>
    <w:next w:val="629"/>
    <w:link w:val="15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146">
    <w:name w:val="Heading 9"/>
    <w:basedOn w:val="629"/>
    <w:next w:val="629"/>
    <w:link w:val="15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149">
    <w:name w:val="Heading 1 Char"/>
    <w:basedOn w:val="630"/>
    <w:link w:val="13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150">
    <w:name w:val="Heading 2 Char"/>
    <w:basedOn w:val="630"/>
    <w:link w:val="13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1">
    <w:name w:val="Heading 3 Char"/>
    <w:basedOn w:val="630"/>
    <w:link w:val="14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2">
    <w:name w:val="Heading 4 Char"/>
    <w:basedOn w:val="630"/>
    <w:link w:val="14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3">
    <w:name w:val="Heading 5 Char"/>
    <w:basedOn w:val="630"/>
    <w:link w:val="14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4">
    <w:name w:val="Heading 6 Char"/>
    <w:basedOn w:val="630"/>
    <w:link w:val="14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5">
    <w:name w:val="Heading 7 Char"/>
    <w:basedOn w:val="630"/>
    <w:link w:val="14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6">
    <w:name w:val="Heading 8 Char"/>
    <w:basedOn w:val="630"/>
    <w:link w:val="14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7">
    <w:name w:val="Heading 9 Char"/>
    <w:basedOn w:val="630"/>
    <w:link w:val="14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158">
    <w:name w:val="Title"/>
    <w:basedOn w:val="629"/>
    <w:next w:val="629"/>
    <w:link w:val="15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159">
    <w:name w:val="Title Char"/>
    <w:basedOn w:val="630"/>
    <w:link w:val="15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160">
    <w:name w:val="Subtitle"/>
    <w:basedOn w:val="629"/>
    <w:next w:val="629"/>
    <w:link w:val="16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61">
    <w:name w:val="Subtitle Char"/>
    <w:basedOn w:val="630"/>
    <w:link w:val="16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62">
    <w:name w:val="Quote"/>
    <w:basedOn w:val="629"/>
    <w:next w:val="629"/>
    <w:link w:val="16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63">
    <w:name w:val="Quote Char"/>
    <w:basedOn w:val="630"/>
    <w:link w:val="16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164">
    <w:name w:val="List Paragraph"/>
    <w:basedOn w:val="629"/>
    <w:uiPriority w:val="34"/>
    <w:qFormat/>
    <w:pPr>
      <w:pBdr/>
      <w:spacing/>
      <w:ind w:left="720"/>
      <w:contextualSpacing w:val="true"/>
    </w:pPr>
  </w:style>
  <w:style w:type="character" w:styleId="165">
    <w:name w:val="Intense Emphasis"/>
    <w:basedOn w:val="630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66">
    <w:name w:val="Intense Quote"/>
    <w:basedOn w:val="629"/>
    <w:next w:val="629"/>
    <w:link w:val="16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67">
    <w:name w:val="Intense Quote Char"/>
    <w:basedOn w:val="630"/>
    <w:link w:val="16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630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169">
    <w:name w:val="No Spacing"/>
    <w:basedOn w:val="629"/>
    <w:uiPriority w:val="1"/>
    <w:qFormat/>
    <w:pPr>
      <w:pBdr/>
      <w:spacing w:after="0" w:line="240" w:lineRule="auto"/>
      <w:ind/>
    </w:pPr>
  </w:style>
  <w:style w:type="character" w:styleId="170">
    <w:name w:val="Subtle Emphasis"/>
    <w:basedOn w:val="630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630"/>
    <w:uiPriority w:val="20"/>
    <w:qFormat/>
    <w:pPr>
      <w:pBdr/>
      <w:spacing/>
      <w:ind/>
    </w:pPr>
    <w:rPr>
      <w:i/>
      <w:iCs/>
    </w:rPr>
  </w:style>
  <w:style w:type="character" w:styleId="172">
    <w:name w:val="Strong"/>
    <w:basedOn w:val="630"/>
    <w:uiPriority w:val="22"/>
    <w:qFormat/>
    <w:pPr>
      <w:pBdr/>
      <w:spacing/>
      <w:ind/>
    </w:pPr>
    <w:rPr>
      <w:b/>
      <w:bCs/>
    </w:rPr>
  </w:style>
  <w:style w:type="character" w:styleId="173">
    <w:name w:val="Subtle Reference"/>
    <w:basedOn w:val="630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630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175">
    <w:name w:val="Header"/>
    <w:basedOn w:val="629"/>
    <w:link w:val="17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76">
    <w:name w:val="Header Char"/>
    <w:basedOn w:val="630"/>
    <w:link w:val="175"/>
    <w:uiPriority w:val="99"/>
    <w:pPr>
      <w:pBdr/>
      <w:spacing/>
      <w:ind/>
    </w:pPr>
  </w:style>
  <w:style w:type="paragraph" w:styleId="177">
    <w:name w:val="Footer"/>
    <w:basedOn w:val="629"/>
    <w:link w:val="17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78">
    <w:name w:val="Footer Char"/>
    <w:basedOn w:val="630"/>
    <w:link w:val="177"/>
    <w:uiPriority w:val="99"/>
    <w:pPr>
      <w:pBdr/>
      <w:spacing/>
      <w:ind/>
    </w:pPr>
  </w:style>
  <w:style w:type="paragraph" w:styleId="180">
    <w:name w:val="footnote text"/>
    <w:basedOn w:val="629"/>
    <w:link w:val="18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1">
    <w:name w:val="Footnote Text Char"/>
    <w:basedOn w:val="630"/>
    <w:link w:val="180"/>
    <w:uiPriority w:val="99"/>
    <w:semiHidden/>
    <w:pPr>
      <w:pBdr/>
      <w:spacing/>
      <w:ind/>
    </w:pPr>
    <w:rPr>
      <w:sz w:val="20"/>
      <w:szCs w:val="20"/>
    </w:rPr>
  </w:style>
  <w:style w:type="character" w:styleId="182">
    <w:name w:val="footnote reference"/>
    <w:basedOn w:val="630"/>
    <w:uiPriority w:val="99"/>
    <w:semiHidden/>
    <w:unhideWhenUsed/>
    <w:pPr>
      <w:pBdr/>
      <w:spacing/>
      <w:ind/>
    </w:pPr>
    <w:rPr>
      <w:vertAlign w:val="superscript"/>
    </w:rPr>
  </w:style>
  <w:style w:type="paragraph" w:styleId="183">
    <w:name w:val="endnote text"/>
    <w:basedOn w:val="629"/>
    <w:link w:val="18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4">
    <w:name w:val="Endnote Text Char"/>
    <w:basedOn w:val="630"/>
    <w:link w:val="183"/>
    <w:uiPriority w:val="99"/>
    <w:semiHidden/>
    <w:pPr>
      <w:pBdr/>
      <w:spacing/>
      <w:ind/>
    </w:pPr>
    <w:rPr>
      <w:sz w:val="20"/>
      <w:szCs w:val="20"/>
    </w:rPr>
  </w:style>
  <w:style w:type="character" w:styleId="185">
    <w:name w:val="endnote reference"/>
    <w:basedOn w:val="630"/>
    <w:uiPriority w:val="99"/>
    <w:semiHidden/>
    <w:unhideWhenUsed/>
    <w:pPr>
      <w:pBdr/>
      <w:spacing/>
      <w:ind/>
    </w:pPr>
    <w:rPr>
      <w:vertAlign w:val="superscript"/>
    </w:rPr>
  </w:style>
  <w:style w:type="character" w:styleId="186">
    <w:name w:val="Hyperlink"/>
    <w:basedOn w:val="630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187">
    <w:name w:val="FollowedHyperlink"/>
    <w:basedOn w:val="630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97">
    <w:name w:val="TOC Heading"/>
    <w:uiPriority w:val="39"/>
    <w:unhideWhenUsed/>
    <w:pPr>
      <w:pBdr/>
      <w:spacing/>
      <w:ind/>
    </w:pPr>
  </w:style>
  <w:style w:type="paragraph" w:styleId="198">
    <w:name w:val="table of figures"/>
    <w:basedOn w:val="629"/>
    <w:next w:val="629"/>
    <w:uiPriority w:val="99"/>
    <w:unhideWhenUsed/>
    <w:pPr>
      <w:pBdr/>
      <w:spacing w:after="0" w:afterAutospacing="0"/>
      <w:ind/>
    </w:pPr>
  </w:style>
  <w:style w:type="paragraph" w:styleId="629" w:default="1">
    <w:name w:val="Normal"/>
    <w:qFormat/>
    <w:pPr>
      <w:widowControl w:val="true"/>
      <w:pBdr/>
      <w:bidi w:val="false"/>
      <w:spacing w:after="200" w:before="0" w:line="276" w:lineRule="auto"/>
      <w:ind/>
      <w:jc w:val="left"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character" w:styleId="630" w:default="1">
    <w:name w:val="Default Paragraph Font"/>
    <w:uiPriority w:val="1"/>
    <w:semiHidden/>
    <w:unhideWhenUsed/>
    <w:qFormat/>
    <w:pPr>
      <w:pBdr/>
      <w:spacing/>
      <w:ind/>
    </w:pPr>
  </w:style>
  <w:style w:type="paragraph" w:styleId="631">
    <w:name w:val="Заголовок"/>
    <w:basedOn w:val="629"/>
    <w:next w:val="632"/>
    <w:qFormat/>
    <w:pPr>
      <w:keepNext w:val="true"/>
      <w:pBdr/>
      <w:spacing w:after="120" w:before="240"/>
      <w:ind/>
    </w:pPr>
    <w:rPr>
      <w:rFonts w:ascii="Liberation Sans" w:hAnsi="Liberation Sans" w:eastAsia="Microsoft YaHei" w:cs="Lucida Sans"/>
      <w:sz w:val="28"/>
      <w:szCs w:val="28"/>
    </w:rPr>
  </w:style>
  <w:style w:type="paragraph" w:styleId="632">
    <w:name w:val="Body Text"/>
    <w:basedOn w:val="629"/>
    <w:pPr>
      <w:pBdr/>
      <w:spacing w:after="140" w:before="0" w:line="276" w:lineRule="auto"/>
      <w:ind/>
    </w:pPr>
  </w:style>
  <w:style w:type="paragraph" w:styleId="633">
    <w:name w:val="List"/>
    <w:basedOn w:val="632"/>
    <w:pPr>
      <w:pBdr/>
      <w:spacing/>
      <w:ind/>
    </w:pPr>
    <w:rPr>
      <w:rFonts w:cs="Lucida Sans"/>
    </w:rPr>
  </w:style>
  <w:style w:type="paragraph" w:styleId="634">
    <w:name w:val="Caption"/>
    <w:basedOn w:val="629"/>
    <w:qFormat/>
    <w:pPr>
      <w:suppressLineNumbers w:val="true"/>
      <w:pBdr/>
      <w:spacing w:after="120" w:before="120"/>
      <w:ind/>
    </w:pPr>
    <w:rPr>
      <w:rFonts w:cs="Lucida Sans"/>
      <w:i/>
      <w:iCs/>
      <w:sz w:val="24"/>
      <w:szCs w:val="24"/>
    </w:rPr>
  </w:style>
  <w:style w:type="paragraph" w:styleId="635">
    <w:name w:val="Указатель"/>
    <w:basedOn w:val="629"/>
    <w:qFormat/>
    <w:pPr>
      <w:suppressLineNumbers w:val="true"/>
      <w:pBdr/>
      <w:spacing/>
      <w:ind/>
    </w:pPr>
    <w:rPr>
      <w:rFonts w:cs="Lucida Sans"/>
    </w:rPr>
  </w:style>
  <w:style w:type="numbering" w:styleId="636" w:default="1">
    <w:name w:val="No List"/>
    <w:uiPriority w:val="99"/>
    <w:semiHidden/>
    <w:unhideWhenUsed/>
    <w:qFormat/>
    <w:pPr>
      <w:pBdr/>
      <w:spacing/>
      <w:ind/>
    </w:pPr>
  </w:style>
  <w:style w:type="table" w:styleId="637" w:default="1">
    <w:name w:val="Normal Table"/>
    <w:uiPriority w:val="99"/>
    <w:semiHidden/>
    <w:unhideWhenUsed/>
    <w:qFormat/>
    <w:pPr>
      <w:pBdr/>
      <w:spacing/>
      <w:ind/>
    </w:pPr>
    <w:tblPr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Grizli777</Company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abybakirov-an</dc:creator>
  <dc:description/>
  <dc:language>ru-RU</dc:language>
  <cp:revision>7</cp:revision>
  <dcterms:created xsi:type="dcterms:W3CDTF">2021-09-23T10:39:00Z</dcterms:created>
  <dcterms:modified xsi:type="dcterms:W3CDTF">2025-04-18T13:14:11Z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